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常州市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金坛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区儒林镇中心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幼儿园综合督导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评估报告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kern w:val="0"/>
          <w:sz w:val="32"/>
          <w:szCs w:val="32"/>
        </w:rPr>
        <w:t>20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日，</w:t>
      </w:r>
      <w:r>
        <w:rPr>
          <w:rFonts w:hint="eastAsia" w:ascii="仿宋" w:hAnsi="仿宋" w:eastAsia="仿宋" w:cs="仿宋"/>
          <w:sz w:val="32"/>
          <w:szCs w:val="32"/>
        </w:rPr>
        <w:t>金坛区人民政府教育督导委员会办公室组成督导评估组，依据《幼儿园督导评估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重点指标</w:t>
      </w:r>
      <w:r>
        <w:rPr>
          <w:rFonts w:hint="eastAsia"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及《常州市幼儿园督导评估重点指标补充说明》的要求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常州市</w:t>
      </w:r>
      <w:r>
        <w:rPr>
          <w:rFonts w:hint="eastAsia" w:ascii="仿宋" w:hAnsi="仿宋" w:eastAsia="仿宋" w:cs="仿宋"/>
          <w:sz w:val="32"/>
          <w:szCs w:val="32"/>
        </w:rPr>
        <w:t>金坛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区儒林镇中心</w:t>
      </w:r>
      <w:r>
        <w:rPr>
          <w:rFonts w:hint="eastAsia" w:ascii="仿宋" w:hAnsi="仿宋" w:eastAsia="仿宋" w:cs="仿宋"/>
          <w:sz w:val="32"/>
          <w:szCs w:val="32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进行为期一天的综合督导评估。现将现场督导评估情况及评估意见报告如下：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一、督导概述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督导评估组严格按照评估要求及流程，听取了幼儿园《携手共建“儒雅”梦 蓬勃生长循序行》的迎评工作汇报，针对办园方向、保育与安全、教育过程、环境条件、队伍建设、内部管理等方面和幼儿园管理人员进行提问答辩、反馈交流。评估组实地考察了儒林镇中心</w:t>
      </w:r>
      <w:r>
        <w:rPr>
          <w:rFonts w:hint="eastAsia" w:ascii="仿宋" w:hAnsi="仿宋" w:eastAsia="仿宋" w:cs="仿宋"/>
          <w:sz w:val="32"/>
          <w:szCs w:val="32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的园所环境和设施设备，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跟踪察看了入园晨检、三个年龄段的户外活动、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个集体教学活动和区域游戏活动等。评估组还观摩剖析了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个教研沙龙，查看了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名专任教师的备课材料，与幼儿园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名管理人员、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名教师、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名保育、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名家长进行个别访谈，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认真查核了幼儿园近几年的档案资料等，对儒林镇中心</w:t>
      </w:r>
      <w:r>
        <w:rPr>
          <w:rFonts w:hint="eastAsia" w:ascii="仿宋" w:hAnsi="仿宋" w:eastAsia="仿宋" w:cs="仿宋"/>
          <w:sz w:val="32"/>
          <w:szCs w:val="32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办园条件、园务管理、安全卫生和保教工作等方面进行了较全面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考察，对幼儿园的发展状况有了较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详细的</w:t>
      </w:r>
      <w:r>
        <w:rPr>
          <w:rFonts w:hint="eastAsia" w:ascii="仿宋" w:hAnsi="仿宋" w:eastAsia="仿宋" w:cs="仿宋"/>
          <w:sz w:val="32"/>
          <w:szCs w:val="32"/>
        </w:rPr>
        <w:t>了解。通过上述工作，评估组以《幼儿园督导评估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重点指标</w:t>
      </w:r>
      <w:r>
        <w:rPr>
          <w:rFonts w:hint="eastAsia" w:ascii="仿宋" w:hAnsi="仿宋" w:eastAsia="仿宋" w:cs="仿宋"/>
          <w:sz w:val="32"/>
          <w:szCs w:val="32"/>
        </w:rPr>
        <w:t>》为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</w:t>
      </w:r>
      <w:r>
        <w:rPr>
          <w:rFonts w:hint="eastAsia" w:ascii="仿宋" w:hAnsi="仿宋" w:eastAsia="仿宋" w:cs="仿宋"/>
          <w:sz w:val="32"/>
          <w:szCs w:val="32"/>
        </w:rPr>
        <w:t>，进行了集中评议与汇总，形成考核意见，完成考核打分。就本次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</w:t>
      </w:r>
      <w:r>
        <w:rPr>
          <w:rFonts w:hint="eastAsia" w:ascii="仿宋" w:hAnsi="仿宋" w:eastAsia="仿宋" w:cs="仿宋"/>
          <w:sz w:val="32"/>
          <w:szCs w:val="32"/>
        </w:rPr>
        <w:t>督导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评估</w:t>
      </w:r>
      <w:r>
        <w:rPr>
          <w:rFonts w:hint="eastAsia" w:ascii="仿宋" w:hAnsi="仿宋" w:eastAsia="仿宋" w:cs="仿宋"/>
          <w:sz w:val="32"/>
          <w:szCs w:val="32"/>
        </w:rPr>
        <w:t>情况，评估组面向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儒林镇分管领导、幼儿园责任督学、幼儿园管理人员</w:t>
      </w:r>
      <w:r>
        <w:rPr>
          <w:rFonts w:hint="eastAsia" w:ascii="仿宋" w:hAnsi="仿宋" w:eastAsia="仿宋" w:cs="仿宋"/>
          <w:sz w:val="32"/>
          <w:szCs w:val="32"/>
        </w:rPr>
        <w:t>和教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职工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</w:t>
      </w:r>
      <w:r>
        <w:rPr>
          <w:rFonts w:hint="eastAsia" w:ascii="仿宋" w:hAnsi="仿宋" w:eastAsia="仿宋" w:cs="仿宋"/>
          <w:sz w:val="32"/>
          <w:szCs w:val="32"/>
        </w:rPr>
        <w:t>反馈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幼儿园概况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常州市金坛区儒林镇中心幼儿园创办于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月创建成江苏省优质幼儿园。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年，规划异地新建园所。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月，原先为民办性质的幼儿园成功转型成“镇办局管”公办园。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幼儿园占地面积</w:t>
      </w: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  <w:t>9498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平方米，建筑面积</w:t>
      </w: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  <w:t>8600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绿化面积</w:t>
      </w: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  <w:t>3010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平方米，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户外活动场地</w:t>
      </w: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  <w:t>1780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平方米。现有小、中、大三个年龄段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个班级，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127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名幼儿。全园教职工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人，班级人员配备均达到两教一保，专任教师大专及以上学历达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%；专任教师均持有幼儿教师资格证，持证率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%；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名保育员均持有保育员资格证，持证率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%。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名保健员、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名保安分别持有保健员证、保安证，持证率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幼儿园逐步提出“悦·雅”的文化理念，明确“让每个人成为自己”的办园宗旨，树立“拥抱童年·悦享生活”的办园理念，以“乐生活·悦游戏·跃成长”为既定办园目标稳步前进。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主要成绩与亮点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（一）党建核心，把握方向，凸显管理有方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.党建引领方向正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加强党对幼儿园工作的全面领导，坚持社会主义办学方向，严格落实党的教育方针和党中央决策部署。幼儿园采取多种形式深入开展党建活动。通过“头雁引领”式管理，建设接“地气”的班子队伍、有“朝气”的青年教师队伍；通过阅读党史、开展“三信”主题教育，多途径组织教师赓续使命担当，厚植家国情怀；通过组建“儒幼青年志愿者”帮扶小组，走进社区、敬老院等，给予特需人群帮助，发扬新时代幼教人敢为人先，甘于奉献的精神。通过一系列活动凝聚党员思想，增强党性，发挥党员先锋模范作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2.民主管理成效好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幼儿园管理团队深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入思考、实践，形成管理——课程——教研三位一体的配合模式。一是以奖促优，带动教师的工作积极性；二是谈话调研，了解教师的工作困惑，减轻教师不必要的工作任务；三是放手促优，为教师搭建更适合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专业成长的工作平台。幼儿园还推行领导跟岗制的管理新举措。在跟岗机制的推动下，园长、保教主任深入班级进行跟岗观察、现场指导，班级保教质量有一定提升，成效较好。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jc w:val="both"/>
        <w:textAlignment w:val="auto"/>
        <w:outlineLvl w:val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3.新园落成设备优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年由政府出资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5000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万元，异地新建于儒林镇儒雅路，规划扩建成为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轨规模幼儿园，周边交通方便快捷，各项配套设施齐全。各班活动室使用面积达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平方米，盥洗室和卫生间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平方米，储藏间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。寝室内每个幼儿有独立固定的床位和专用被子、枕头，做到一人一床一被一枕头。卫生间内男女小便池分开设置，各班卫生间配有独立工具间。园内还设有美术室、科学发现室、建构室、生活馆、阅览室、多功能厅、室内风雨操场等多个公共活动区域，各公共游戏区域宽敞明亮、资源配置充足。公共活动区域内成品、半成品材料投放丰富，为幼儿全面发展提供保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4.环境创设空间美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整体思考幼儿园户外环境、班级环境以及室内公共区域环境的创设，能充分利用室内、走廊、户外等空间，科学安排，创设各种室内和户外游戏区域，在内容选择、空间划分、环境布置、材料投放等方面进行积极思考和实践，引导孩子们在自主选择、自由探究的过程中，获得身体、情感、认知和社会性等各个方面的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比如，户外环境亲自然，多形态。共同对户外环境进行了合理规划，提供帐篷、竹管、木条等原生态材料，把自由和快乐给予孩子，让幼儿与材料、情景、人进行互动，让户外环境成为孩子们的“乐园”。班级环境趣材料、多区域。各班级营造温馨、愉悦且安全的环境，每个班级创设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个以上活动区，保证游戏的空间，还利用废旧物品、自然材料等变废为宝。让儿童充分表达自己对游戏环境创设的期望，利用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与式研究方法，全方位、多形态地打造互动性的游戏环境，让区域环境成为孩子们的“学园”。公共环境高融合、多领域。根据课程实施需要，适时、动态地对活动室环境进行调整与改造，合理布局室内活动区域，巧妙利用空间为幼儿创设各类活动区域，不断优化公共活动区环境。让公共环境成为孩子们的“家园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（二）明晰理念，抱团成长，徽显活动有料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.多元发展，教师在成事中成人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）队伍管理强师德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始终把政治思想建设放在工作的首位，认真贯彻《幼儿园教师专业标准》，深入学习《幼儿园教师十项准则》《中小学教师违反职业道德行为处理办法》等规定，坚持师德与师能并重，通过“三信”主题教育开展教师行为专项督导自查、师德演讲、心得交流等；开展共读一本好书、国旗下宣誓、师徒结对、文明班级、先进个人评比等活动，引领教师争做敬业乐业、团结奋进、善发现、乐创新、勇实践的好老师，在体验职业幸福感的同时坚定教育初心，提升师德修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同时，把师德要求细化到日常跟班观察和工作考核中，通过自评、他评、家长评相结合，每学期签订《师德承诺书》和《拒绝有偿家教承诺书》，将师德要求落到实处。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）保教常规多举措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定期组织学习。学习《幼儿园教师日常工作行为规范与指导》《幼儿园保育教育质量评估指南》等，保教人员清楚了解一日活动各环节应该做什么，应该怎么做。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做好日常巡查。为提升教师保教工作能力，园行政坚持巡查制度，了解教师在一日活动中的组织与管理，发现问题及时沟通，并给予指导性建议。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跟踪半日活动。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教管理人员细化日常巡查制度，经常深入班级观摩半日活动，与教师共同探讨，指导教学及游戏活动，注重从班级、教师、幼儿的需求去发现问题并商量解决策略，努力将正确的教育理念转化为教师的教育行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）专业发展有方向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首先，落实开展三项尝试：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梳理园本研训体系、拓宽问题收集路径、倡导科学高效教研行动。比如，园本研训体系从“师德及个人素养”“班级管理”“保育工作”“教学业务”“家长工作”五大板块梳理实施要点和评价指标，并制定一学期的研训方案，使各项工作按计划和要求达到预计目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其次，扎实拓展三个平台。依据幼儿园的发展总体规划，分别制定《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年儒林镇幼儿园教师成长规划》《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年儒林镇幼儿园教师个人成长规划》。初建三个成长平台：新手教师成长营、骨干教师研修班、教研组长共同体，为教师成为更专业的人助力。最后，抓实推进三项活动：学习共读、进班观摩、月报互通，以此发现问题、反馈问题、解决问题。通过以上措施，结合教师三年成长规划，帮助年轻教师尽快站稳脚跟、独当一面；推动成熟型与成长型教师都能在原有基础上稳步提升，让每位教师成长为更专业的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2.立德树人，幼儿在活动中拔节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幼儿园以立德树人为根本任务，思考园本课程《以儒伴行 以雅育人》，聚焦“以雅育人”“以雅生慧”“以雅育美”“以雅致阅”“以雅润物”开展各项活动，促进幼儿全面、健康、和谐发展。通过升旗仪式、文明小天使、爱暖三八节、重阳节等，把品德教育贯穿于幼儿一日活动中，帮助幼儿系好人生第一粒扣子。在智力启蒙方面，注重将数学学习融入到区域活动和生活活动中，并通过直接感知、亲身体验和实际操作帮助幼儿习得经验，同时还通过丰富的科学材料，有趣的科学实验，激发幼儿的创造力，培养幼儿善于思考，发现问题、解决问题的能力。此外，寻找适宜的机会带幼儿走出幼儿园，走进派出所、消防中队等“没有围墙的学校”，满足幼儿的好奇心和求知欲，激发幼儿学习积极性，养成自主探索的好习惯。体能发展方面，不断调整、优化，结合户外空间、材料资源，初步摸索出适合不同年龄段幼儿运动技能发展的路径，如：小小野战军、穿越火线、民间游戏跳竹竿、跳皮筋等，锻炼幼儿九大运动技能。在美育方面，结合环境创设，渗入区域游戏，引导幼儿感受美、欣赏美、表达美。如：六一节活动中，神奇泡泡世界、绘画天地、儿童医院等活动，融合了手工、涂鸦、泥塑、唱歌、跳舞、表演等，每个孩子都成为了了不起的“艺术家”。劳动教育方面，明确幼儿一日生活皆课程的理念，重视幼儿每日的自主整理，每周五园所材料、环境的整理，同时结合周边资源，体验徒步行走；春季种植园里采摘蚕豆、夏季果树上采摘枇杷、番茄；饲养区里照顾小兔子等，感受四季变化，发展幼儿劳动技能的同时，塑造幼儿良好的品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3.家园共建，互相在沟通中助力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高质量的家园关系是双向互惠的，能够形成合力，促进儿童的发展。因此，幼儿园应秉持民主、平等的意识，主动和家庭对话与合作，运用专业素养向家庭传播现代儿童教育理念和知识，提升科学育儿能力。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积极借鉴成功经验，拓展家园共建模式，形成幼儿园、家庭、社区密切配合的育人体系，如，每学期通过家长会、家委会、家长开放日、家长进课堂、家园联系APP等方式与每位家长积极互动沟通，让家长走进幼儿园、走进食堂、走进班级；同时为家长开展“安全知识大课堂”“传染疾病讲座”“交通安全我知道”等活动以提高家长的安全意识，了解教育的更多内涵和价值，更好地为了孩子的发展而优化合作动力。又如，做好定期家访，对小班新生进行入园前家访，了解幼儿详细情况、帮助幼儿更快更好地适应幼儿园生活。对中、大班幼儿进行电话家访、线上家访等，家园互相了解幼儿在家、在园的详细情况，更好地为幼儿健康成长服务，更好地提升家园共育效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这些活动的开展，引领家长了解正确的教育理念，积累文明的教育行为，加强了家园联系，形成了教育合力，助推了孩子健康成长。儒林镇中心</w:t>
      </w:r>
      <w:r>
        <w:rPr>
          <w:rFonts w:hint="eastAsia" w:ascii="仿宋" w:hAnsi="仿宋" w:eastAsia="仿宋" w:cs="仿宋"/>
          <w:sz w:val="32"/>
          <w:szCs w:val="32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在家园工作上沟通得力、合作给力，获得了家长的认可，逐步形成了“家园携手怀初心，同频共振齐步调”的共研共管模式，家长满意度较高。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（三）措施得力，制度完善，彰显健康有道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卫生管理制度健全，责任到人，认真执行。根据实际制定了《幼儿园传染病预防与控制制度》《幼儿园卫生消毒与隔离制度》《幼儿园入园及定期健康检查制度》等。坚持保教并重的原则，落实《托儿所幼儿园卫生保健管理办法》《托儿所幼儿园卫生保健工作规范》等规章制度。全园教职员工通过学习、研讨、演练、督查等方式认真学习并严格执行，保证各项制度落实到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做好健康检查。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新生执行入园前体检制度，严把新生入园关，体检率达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%。入园后，每学期定期为全体幼儿体检。严把教职工入职关，每年体检率达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%。组织开展心理健康讲座、急救知识培训等，及时关注和了解教职工思想情绪，并及时沟通，保证教职工良好的工作状态，为孩子的健康成长负责。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做细晨间检查。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保健员严把晨检关，每天早晨严格按“一问、二看、三摸、四查”对幼儿进行晨检，杜绝幼儿携带尖锐物品和危险品入园。坚持做好晨检与全日观察相结合，做好传染病的预防工作。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做实卫生消毒。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消毒制度及操作要求，责任到人，幼儿一日生活管理中体现健康教育，并通过家长园地等向家长科普传染病预防等保健常识，有效控制传染病的发生。为保证全体师生员工有一个安全卫生的生活环境，后勤人员能加强各场所的消毒、通风工作、切实做好消毒工作、切实做好消毒记录。保健人员每日对班级幼儿的进餐、午睡情况进行巡视与记录等，将幼儿园卫生保健管理制度真正落实到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（四）策略导航，定岗定责，明显安全有序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.安全管理细节化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筑牢安保屏障，坚持安全第一，人人有责。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推行“园长负责制”“保教主任负责制”“级部组长项目负责制”等，幼儿园人人签订安全责任状，强责任、严要求、重防范，使安全工作责任到人。定期检查设施设备安全状况，做到发现问题及时整改，及时消除安全隐患。加强园舍、交通、消防、饮食卫生、健康、周边环境治安，确保幼儿园和师幼的人身安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开展安全活动，坚持安全教育，人人参与。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幼儿园有完善的各类应急预案，定期开展教师、家长、幼儿安全教育活动，如“开学安全第一课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主题活动，宣传交通、防溺水教育等；每学期制定安全教育计划，并开展“消防安全宣传月”“终身学习周”及消防、防震演练等系列安全教育活动。还将“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1530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安全教育”深入班级，每天放学前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分钟、每周放学前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分钟、每节假日放假前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分钟对幼儿进行安全提醒和安全教育，增强幼儿的自我保护意识和能力。在行政会、周前会、培训会等时段，进行安全培训，加强全体教职工的安全意识，提高安全防范能力。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加强安全管理，坚持安全工作，人人配合。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按照安全管理规范要求，配备保安，配齐安保设施，保安人员对外来人员能详细询问并按要求做好登记工作，以确保幼儿入园、在园、离园的安全。每月专业消防维保人员来园对消防设施设备进行隐患排查和维保。定期摸排校园周边治安安全情况，及时向有关部门报告信息，积极配合专项整治行动。无安全责任事故发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2.食堂管理规范化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食堂安全卫生有专人负责，严格执行食品卫生法和饮食卫生制度，确保师生饮食安全。工作人员均持证上岗。管理人员定期组织开展食品安全隐患排查和食品安全教育，坚持执行食物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小时留样制度。建立行政人员和家长代表陪餐制度。行政、教师、家长代表、保健员等每天参与验菜，食品索证索票齐全，严把菜品关。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食堂设施设备、环境较符合要求，食堂工作人员也能做到规范操作，严格把好食物加工关和饭菜分发关，确保“舌尖上的安全”。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三、主要问题及建议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（一）分层培养师资队伍，进一步提升教师专业素养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积极探索教师专业发展新途径。教师角色、观念还需改变，建议拓展园本研修路径，加强教师培训，量身打造专职教师专业发展规划，搭建平台，系统培养。建议幼儿园进一步优化“分类要求、分层发展”的策略，特别要关注中青年骨干教师的培养，重视骨干教师梯队建设，打磨骨干教师做好领航人，以有效带动全体教师的专业发展。建立相应的考核机制，让教师对标找差，使专业成长更有方向，以实现真正转变教师观念、提升专业水平，达成梯队教师零的突破并逐年增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是积极采取项目式园本教研新举措。确定好园本教研每一个阶段的每一个小项目，从项目实施时间、项目内容等方面责任到人，以专题项目研究的形式加强学习、观摩、研讨，从而形成园本教研中每一个项目的有效策略，真正为教师的专业发展找到方向，为幼儿园教师队伍发展垫定基石。《幼儿园项目式园本教研活动设计与实例》《导向学习——幼儿园综合性主题活动行动破解》都是较好的参考学习书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（二）扎实开展课题研究，进一步积聚教研科研能力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color w:val="FF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一步形成并完善《园本教研制度》《教育科研管理制度》《课题管理流程及要求》等一系列制度，规范教育科研管理。积极申报区级及以上课题项目、特色发展项目、主动发展项目等，继续以“基于问题——跟踪研究——形成策略——再回实践”的路径，扎实开展课题研究。呈现人人会探究，人人在研究，人人做项目研究，让教育科研蔚然成风，进一步提高教育科研力量，以研究助推园所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（三）全面落实保教常规，进一步提高课程实施质量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首先，对标《幼儿园保育教育质量评估指南》《江苏省优质幼儿园评估标准及评价细则》等，结合课程游戏项目建设实施要求，进一步合理规划并创设适宜的游戏环境、课程环境等，为课程实施提供更好的基础条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次，在课程游戏化项目建设支架的理念指导下去关注幼儿生活、学习、游戏中的计划、过程、材料、学习品质等，真正关注幼儿的成长。结合实践深度学习专业好书，保教质量提升过程中，专业、正确的理论引领很重要，理论加实践，是最有效的方法。前期课程游戏化项目建设已经积累了很多成功的实践案例，都可以学习、借鉴，为提高课程质量积累经验和成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期待儒林镇中心幼儿园进一步梳理未来三至五年的发展目标、具体策略和实施途径，从规范走向高质量，令显儒幼内涵发展的亮丽风景线。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" o:spid="_x0000_s4098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zSVju0AAAAAUBAAAPAAAAAAAAAAEAIAAAACIAAABkcnMvZG93bnJl&#10;di54bWxQSwECFAAUAAAACACHTuJAGWzQwD4CAABtBAAADgAAAAAAAAABACAAAAAfAQAAZHJzL2Uy&#10;b0RvYy54bWxQSwUGAAAAAAYABgBZAQAAzwUAAAAA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87887A"/>
    <w:multiLevelType w:val="singleLevel"/>
    <w:tmpl w:val="D187887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2MjMyMjcyNjJhMzRhYzU4NjZhMWE3N2E5MDI4YWIifQ=="/>
  </w:docVars>
  <w:rsids>
    <w:rsidRoot w:val="47136B07"/>
    <w:rsid w:val="000E1A7E"/>
    <w:rsid w:val="001978C2"/>
    <w:rsid w:val="002C0856"/>
    <w:rsid w:val="002E6536"/>
    <w:rsid w:val="003E43C1"/>
    <w:rsid w:val="00494313"/>
    <w:rsid w:val="007D4E5B"/>
    <w:rsid w:val="00A411E2"/>
    <w:rsid w:val="00B222CE"/>
    <w:rsid w:val="01274B0F"/>
    <w:rsid w:val="029A293F"/>
    <w:rsid w:val="02CF29A5"/>
    <w:rsid w:val="03DB70F3"/>
    <w:rsid w:val="03F07987"/>
    <w:rsid w:val="045E3C36"/>
    <w:rsid w:val="04812FB5"/>
    <w:rsid w:val="04A06B63"/>
    <w:rsid w:val="04A07C4B"/>
    <w:rsid w:val="04B30214"/>
    <w:rsid w:val="04D41FAE"/>
    <w:rsid w:val="04ED4F4D"/>
    <w:rsid w:val="0554622A"/>
    <w:rsid w:val="07120374"/>
    <w:rsid w:val="075169FA"/>
    <w:rsid w:val="0997182D"/>
    <w:rsid w:val="09EB549E"/>
    <w:rsid w:val="0AA54FB6"/>
    <w:rsid w:val="0AC74CFC"/>
    <w:rsid w:val="0ADB2702"/>
    <w:rsid w:val="0B10080D"/>
    <w:rsid w:val="0B2F2004"/>
    <w:rsid w:val="0C047A15"/>
    <w:rsid w:val="0C1D61B6"/>
    <w:rsid w:val="0C64135D"/>
    <w:rsid w:val="0CFB2423"/>
    <w:rsid w:val="0D635007"/>
    <w:rsid w:val="0DAA4AE8"/>
    <w:rsid w:val="0DCB35EB"/>
    <w:rsid w:val="0E346CE7"/>
    <w:rsid w:val="0E8D4A1F"/>
    <w:rsid w:val="0EBD7965"/>
    <w:rsid w:val="0F203817"/>
    <w:rsid w:val="0F3B3B23"/>
    <w:rsid w:val="0FA33909"/>
    <w:rsid w:val="0FFD6706"/>
    <w:rsid w:val="10374BC5"/>
    <w:rsid w:val="10A818CA"/>
    <w:rsid w:val="10C279CE"/>
    <w:rsid w:val="119278C4"/>
    <w:rsid w:val="127E205B"/>
    <w:rsid w:val="129C5404"/>
    <w:rsid w:val="137E7A43"/>
    <w:rsid w:val="143C0CA7"/>
    <w:rsid w:val="14784287"/>
    <w:rsid w:val="14F03061"/>
    <w:rsid w:val="15472462"/>
    <w:rsid w:val="15724254"/>
    <w:rsid w:val="15F55452"/>
    <w:rsid w:val="1600222D"/>
    <w:rsid w:val="16E35341"/>
    <w:rsid w:val="170738A4"/>
    <w:rsid w:val="175E2CE2"/>
    <w:rsid w:val="188C2FFF"/>
    <w:rsid w:val="1916558F"/>
    <w:rsid w:val="19FB2A6A"/>
    <w:rsid w:val="1A72042B"/>
    <w:rsid w:val="1AAF3897"/>
    <w:rsid w:val="1ACA3116"/>
    <w:rsid w:val="1AD60791"/>
    <w:rsid w:val="1AFD7681"/>
    <w:rsid w:val="1B71179B"/>
    <w:rsid w:val="1B8D0E39"/>
    <w:rsid w:val="1C760BAE"/>
    <w:rsid w:val="1E5310C7"/>
    <w:rsid w:val="1E5570D1"/>
    <w:rsid w:val="1EC34715"/>
    <w:rsid w:val="1FE1176A"/>
    <w:rsid w:val="202D6EFB"/>
    <w:rsid w:val="20AD0899"/>
    <w:rsid w:val="21415B4F"/>
    <w:rsid w:val="227F338D"/>
    <w:rsid w:val="233278B1"/>
    <w:rsid w:val="23E70153"/>
    <w:rsid w:val="240B2444"/>
    <w:rsid w:val="24B06119"/>
    <w:rsid w:val="24DE22F6"/>
    <w:rsid w:val="25174A69"/>
    <w:rsid w:val="253B22C4"/>
    <w:rsid w:val="257B450C"/>
    <w:rsid w:val="25FC7F0C"/>
    <w:rsid w:val="27914283"/>
    <w:rsid w:val="27DC7BEE"/>
    <w:rsid w:val="287603E0"/>
    <w:rsid w:val="28837332"/>
    <w:rsid w:val="291936DB"/>
    <w:rsid w:val="29DD37F0"/>
    <w:rsid w:val="2A1A61E8"/>
    <w:rsid w:val="2A9B6B43"/>
    <w:rsid w:val="2B2636BF"/>
    <w:rsid w:val="2B513F55"/>
    <w:rsid w:val="2BB52CB8"/>
    <w:rsid w:val="2BD81656"/>
    <w:rsid w:val="2BDE7D31"/>
    <w:rsid w:val="2C2E6CCF"/>
    <w:rsid w:val="2C4F1D3C"/>
    <w:rsid w:val="2C6D7788"/>
    <w:rsid w:val="2D5D6739"/>
    <w:rsid w:val="2E052663"/>
    <w:rsid w:val="2E2F4C8B"/>
    <w:rsid w:val="2E647364"/>
    <w:rsid w:val="2ECD3D5E"/>
    <w:rsid w:val="2F002E22"/>
    <w:rsid w:val="2FCB05C8"/>
    <w:rsid w:val="30BC18A1"/>
    <w:rsid w:val="317D2471"/>
    <w:rsid w:val="31F0153C"/>
    <w:rsid w:val="31FA7754"/>
    <w:rsid w:val="32E34B80"/>
    <w:rsid w:val="33AE5603"/>
    <w:rsid w:val="33F20F2A"/>
    <w:rsid w:val="343F7EAC"/>
    <w:rsid w:val="365E182D"/>
    <w:rsid w:val="3674073E"/>
    <w:rsid w:val="370F5309"/>
    <w:rsid w:val="37BC0AD9"/>
    <w:rsid w:val="381E7544"/>
    <w:rsid w:val="3821178A"/>
    <w:rsid w:val="38415FDC"/>
    <w:rsid w:val="384E33FD"/>
    <w:rsid w:val="38DA7AD9"/>
    <w:rsid w:val="39B1555B"/>
    <w:rsid w:val="39CF1BDB"/>
    <w:rsid w:val="39D80976"/>
    <w:rsid w:val="3A062564"/>
    <w:rsid w:val="3A172260"/>
    <w:rsid w:val="3A803384"/>
    <w:rsid w:val="3AA32A36"/>
    <w:rsid w:val="3B2753A7"/>
    <w:rsid w:val="3BA21AC3"/>
    <w:rsid w:val="3BE65D9C"/>
    <w:rsid w:val="3CB64A76"/>
    <w:rsid w:val="3CBF5D7A"/>
    <w:rsid w:val="3CD2774D"/>
    <w:rsid w:val="3D524F0B"/>
    <w:rsid w:val="3E72438E"/>
    <w:rsid w:val="3F1175F2"/>
    <w:rsid w:val="40142D60"/>
    <w:rsid w:val="40677877"/>
    <w:rsid w:val="40905D53"/>
    <w:rsid w:val="4112640E"/>
    <w:rsid w:val="414253DD"/>
    <w:rsid w:val="41DB7807"/>
    <w:rsid w:val="41E06866"/>
    <w:rsid w:val="41F860C3"/>
    <w:rsid w:val="42027124"/>
    <w:rsid w:val="421B3DF6"/>
    <w:rsid w:val="425A0A67"/>
    <w:rsid w:val="42D42175"/>
    <w:rsid w:val="4383341D"/>
    <w:rsid w:val="43AF4951"/>
    <w:rsid w:val="43E2081F"/>
    <w:rsid w:val="43F8173F"/>
    <w:rsid w:val="44207AFB"/>
    <w:rsid w:val="443D3C15"/>
    <w:rsid w:val="44940539"/>
    <w:rsid w:val="4587202D"/>
    <w:rsid w:val="45F02A6E"/>
    <w:rsid w:val="46274A64"/>
    <w:rsid w:val="46D56BB1"/>
    <w:rsid w:val="47136B07"/>
    <w:rsid w:val="474653BD"/>
    <w:rsid w:val="474F0AA2"/>
    <w:rsid w:val="4764253A"/>
    <w:rsid w:val="47670AE5"/>
    <w:rsid w:val="48417A4A"/>
    <w:rsid w:val="487C65B7"/>
    <w:rsid w:val="48B26DF1"/>
    <w:rsid w:val="48ED63DD"/>
    <w:rsid w:val="492F3FFC"/>
    <w:rsid w:val="49911738"/>
    <w:rsid w:val="49B97B19"/>
    <w:rsid w:val="49CA2CF1"/>
    <w:rsid w:val="4A0B7C24"/>
    <w:rsid w:val="4BF07E94"/>
    <w:rsid w:val="4C672788"/>
    <w:rsid w:val="4CB24DC3"/>
    <w:rsid w:val="4CB53D93"/>
    <w:rsid w:val="4D334DE7"/>
    <w:rsid w:val="4DEC61F0"/>
    <w:rsid w:val="4E3B3D14"/>
    <w:rsid w:val="4E4C5FA6"/>
    <w:rsid w:val="4EFB624F"/>
    <w:rsid w:val="4FBB4CB2"/>
    <w:rsid w:val="50637F73"/>
    <w:rsid w:val="509863BC"/>
    <w:rsid w:val="515E3171"/>
    <w:rsid w:val="52166B65"/>
    <w:rsid w:val="527F1F21"/>
    <w:rsid w:val="529A65BD"/>
    <w:rsid w:val="52B16938"/>
    <w:rsid w:val="53751760"/>
    <w:rsid w:val="547F4E60"/>
    <w:rsid w:val="54A70281"/>
    <w:rsid w:val="54BD2C6E"/>
    <w:rsid w:val="54CB4E4F"/>
    <w:rsid w:val="550507F0"/>
    <w:rsid w:val="552F295E"/>
    <w:rsid w:val="55D14FDE"/>
    <w:rsid w:val="55F1484D"/>
    <w:rsid w:val="562828F5"/>
    <w:rsid w:val="567105B4"/>
    <w:rsid w:val="56813D1C"/>
    <w:rsid w:val="57C27EF2"/>
    <w:rsid w:val="58822E05"/>
    <w:rsid w:val="588749A5"/>
    <w:rsid w:val="58982397"/>
    <w:rsid w:val="58EC3537"/>
    <w:rsid w:val="58F92AD4"/>
    <w:rsid w:val="5B16754B"/>
    <w:rsid w:val="5B9D3D19"/>
    <w:rsid w:val="5BB054AD"/>
    <w:rsid w:val="5BCF2D66"/>
    <w:rsid w:val="5BEA6A44"/>
    <w:rsid w:val="5C1778C5"/>
    <w:rsid w:val="5C1A7FDF"/>
    <w:rsid w:val="5C285F9E"/>
    <w:rsid w:val="5CB34F3E"/>
    <w:rsid w:val="5CF743AF"/>
    <w:rsid w:val="5D6124FB"/>
    <w:rsid w:val="5D8958E1"/>
    <w:rsid w:val="5DB620FC"/>
    <w:rsid w:val="5DE87A06"/>
    <w:rsid w:val="5DEA075C"/>
    <w:rsid w:val="5E2B0605"/>
    <w:rsid w:val="5E3A1127"/>
    <w:rsid w:val="5E967C3E"/>
    <w:rsid w:val="5EE91265"/>
    <w:rsid w:val="5F017B70"/>
    <w:rsid w:val="5F094F52"/>
    <w:rsid w:val="5F3665B4"/>
    <w:rsid w:val="60BF0471"/>
    <w:rsid w:val="60FB7283"/>
    <w:rsid w:val="610C68D8"/>
    <w:rsid w:val="61925017"/>
    <w:rsid w:val="61A538B4"/>
    <w:rsid w:val="627C183B"/>
    <w:rsid w:val="630C646E"/>
    <w:rsid w:val="63746A49"/>
    <w:rsid w:val="639E1D38"/>
    <w:rsid w:val="63F56555"/>
    <w:rsid w:val="64100EEE"/>
    <w:rsid w:val="64B212DB"/>
    <w:rsid w:val="64F57F6F"/>
    <w:rsid w:val="64FB22FF"/>
    <w:rsid w:val="65835849"/>
    <w:rsid w:val="65B85280"/>
    <w:rsid w:val="667D3BE9"/>
    <w:rsid w:val="66820428"/>
    <w:rsid w:val="678A25E3"/>
    <w:rsid w:val="67C93648"/>
    <w:rsid w:val="67DB7686"/>
    <w:rsid w:val="68614851"/>
    <w:rsid w:val="69256D5E"/>
    <w:rsid w:val="6A3C2E16"/>
    <w:rsid w:val="6A505609"/>
    <w:rsid w:val="6ACB0634"/>
    <w:rsid w:val="6AEB3A02"/>
    <w:rsid w:val="6BBB33D4"/>
    <w:rsid w:val="6C194E61"/>
    <w:rsid w:val="6C1F004E"/>
    <w:rsid w:val="6C237D36"/>
    <w:rsid w:val="6C327971"/>
    <w:rsid w:val="6C371C02"/>
    <w:rsid w:val="6C3B62C3"/>
    <w:rsid w:val="6CE21BB1"/>
    <w:rsid w:val="6D0B539F"/>
    <w:rsid w:val="6D3F61AF"/>
    <w:rsid w:val="6DD137A9"/>
    <w:rsid w:val="6E0003D9"/>
    <w:rsid w:val="6E2B5D07"/>
    <w:rsid w:val="6E2C40A3"/>
    <w:rsid w:val="6E661F5F"/>
    <w:rsid w:val="6E803F74"/>
    <w:rsid w:val="6F7059BE"/>
    <w:rsid w:val="6FA80E81"/>
    <w:rsid w:val="70C76378"/>
    <w:rsid w:val="70EF05DE"/>
    <w:rsid w:val="714A7E98"/>
    <w:rsid w:val="724759C2"/>
    <w:rsid w:val="732C3629"/>
    <w:rsid w:val="734A065F"/>
    <w:rsid w:val="73AA6208"/>
    <w:rsid w:val="73D11E39"/>
    <w:rsid w:val="74D952AE"/>
    <w:rsid w:val="75B634FA"/>
    <w:rsid w:val="75F4035E"/>
    <w:rsid w:val="76361E5C"/>
    <w:rsid w:val="76F231CD"/>
    <w:rsid w:val="77CB499F"/>
    <w:rsid w:val="780E65F2"/>
    <w:rsid w:val="78933551"/>
    <w:rsid w:val="796E4007"/>
    <w:rsid w:val="79837323"/>
    <w:rsid w:val="7A0737BF"/>
    <w:rsid w:val="7B1211B1"/>
    <w:rsid w:val="7B783645"/>
    <w:rsid w:val="7BA93249"/>
    <w:rsid w:val="7BD65F20"/>
    <w:rsid w:val="7C7D67FD"/>
    <w:rsid w:val="7C925723"/>
    <w:rsid w:val="7CB3236B"/>
    <w:rsid w:val="7D0A142E"/>
    <w:rsid w:val="7E3F2B4A"/>
    <w:rsid w:val="7EF66AAF"/>
    <w:rsid w:val="7F1C3A0F"/>
    <w:rsid w:val="7F266120"/>
    <w:rsid w:val="7F513D0C"/>
    <w:rsid w:val="7F5C0465"/>
    <w:rsid w:val="7FBE5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autoRedefine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autoRedefine/>
    <w:unhideWhenUsed/>
    <w:qFormat/>
    <w:uiPriority w:val="99"/>
    <w:pPr>
      <w:ind w:left="600" w:leftChars="600"/>
    </w:pPr>
    <w:rPr>
      <w:rFonts w:ascii="Verdana" w:hAnsi="Verdana" w:cs="Times New Roman"/>
      <w:szCs w:val="20"/>
    </w:rPr>
  </w:style>
  <w:style w:type="paragraph" w:styleId="4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autoRedefine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15"/>
    <w:autoRedefine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13</Pages>
  <Words>6559</Words>
  <Characters>6649</Characters>
  <Lines>6</Lines>
  <Paragraphs>1</Paragraphs>
  <TotalTime>0</TotalTime>
  <ScaleCrop>false</ScaleCrop>
  <LinksUpToDate>false</LinksUpToDate>
  <CharactersWithSpaces>6651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2019-10-17T01:35:00Z</dcterms:created>
  <dc:creator>王者风行</dc:creator>
  <cp:lastModifiedBy>半亩方塘</cp:lastModifiedBy>
  <dcterms:modified xsi:type="dcterms:W3CDTF">2024-08-06T00:58:26Z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87162D15A7F84568A60113665FB35746</vt:lpwstr>
  </property>
</Properties>
</file>