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常州市金坛区白塔中学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综合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督导评估报告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日，金坛区人民政府教育督导委员会办公室组成督导评估组，依据《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常州市初中综合督导评估指标</w:t>
      </w:r>
      <w:r>
        <w:rPr>
          <w:rFonts w:hint="eastAsia" w:ascii="仿宋_GB2312" w:hAnsi="仿宋_GB2312" w:eastAsia="仿宋_GB2312" w:cs="仿宋_GB2312"/>
          <w:sz w:val="32"/>
          <w:szCs w:val="32"/>
        </w:rPr>
        <w:t>》要求，对金坛区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白塔中学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了为期两天的综合</w:t>
      </w:r>
      <w:r>
        <w:rPr>
          <w:rFonts w:hint="eastAsia" w:ascii="仿宋_GB2312" w:hAnsi="仿宋_GB2312" w:eastAsia="仿宋_GB2312" w:cs="仿宋_GB2312"/>
          <w:sz w:val="32"/>
          <w:szCs w:val="32"/>
        </w:rPr>
        <w:t>督导评估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，现将现场督导评估情况及评估意见报告如下：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一、督导概述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评估组按照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标准流程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，首先听取了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黄志琴副书记题为</w:t>
      </w:r>
      <w:r>
        <w:rPr>
          <w:rFonts w:hint="eastAsia" w:ascii="仿宋_GB2312" w:hAnsi="仿宋_GB2312" w:eastAsia="仿宋_GB2312" w:cs="仿宋_GB2312"/>
          <w:sz w:val="32"/>
          <w:szCs w:val="32"/>
        </w:rPr>
        <w:t>《立德树人铸就品格润心成行丰盈发展》的自评报告，其次观看了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升旗仪式</w:t>
      </w:r>
      <w:r>
        <w:rPr>
          <w:rFonts w:hint="eastAsia" w:ascii="仿宋_GB2312" w:hAnsi="仿宋_GB2312" w:eastAsia="仿宋_GB2312" w:cs="仿宋_GB2312"/>
          <w:sz w:val="32"/>
          <w:szCs w:val="32"/>
        </w:rPr>
        <w:t>，观摩了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课后服务X课程、大课间活动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，查阅了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现场资料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，剖析了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英语</w:t>
      </w:r>
      <w:r>
        <w:rPr>
          <w:rFonts w:hint="eastAsia" w:ascii="仿宋_GB2312" w:hAnsi="仿宋_GB2312" w:eastAsia="仿宋_GB2312" w:cs="仿宋_GB2312"/>
          <w:sz w:val="32"/>
          <w:szCs w:val="32"/>
        </w:rPr>
        <w:t>教研组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的教研活动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，察看了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人的备课材料，与学校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位行政、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位教师和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位学生进行个别访谈，对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位教师、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位家长、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位学生进行问卷调查，组织随堂听课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节，优良率为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最后评估组进行集中评议汇总，形成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意见，完成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打分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sz w:val="32"/>
          <w:szCs w:val="32"/>
        </w:rPr>
        <w:t>就本次督导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情况面向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金城镇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政府、学校行政和教师、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责任督学进行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全面反馈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二、学校概述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金坛区白塔中学创建于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1960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年，坐落于金坛区北郊，占地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19171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平方米，建筑面积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4717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平方米，绿化面积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2200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平方米。目前，学校有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个教学班，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238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名学生；教职员工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人，其中，专任教师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人；本科学历占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%，研究生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人；中级以上职称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人，占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93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%；常州市学科带头人、骨干教师、金坛区学科带头人、骨干教师等各类骨干教师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人。区级以上优秀教育工作者、优秀中青年教师、德育先进个人等优秀教师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秉持“诚仁·笃行”的校训，坚持“让每一朵鲜花都绽放”的办学理念，关注学生差异，尊重学生情感，释放学生潜能，提升学生素养。因材施教，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扎实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突破展现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了淳朴的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教风，立德树人，严中有爱办教育。多元评价，学生拼搏进取，体现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学风。精致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优化美化，彰显地方特色凸显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朴实的校风。精致教育，项目管理，内涵发展行稳致远。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先后获得“江苏省初中课程建设特色学校”“常州市依法治校示范校”“金坛区工人先锋号”“常州市行风建设群众满意示范学校”“常州市优秀基层党组织”“常州市艺术教育工作先进校”“常州市优质学校”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三、办学成绩和特色亮点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精细规划内涵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.打造精致的校园环境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立足学校的微小，在细微处改造、改善，凸显暖心或励志氛围。校园环境在整洁的基础上细致打造展现了美化、活力和特色，展示了亲和奋进的教师团队，合理呈现了校训、三风，充分利用劳动实践基地，突出宣扬家乡文化和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.谋求有内涵的品质发展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结合自身特点定位阶段目标，注重内涵发展，提炼学校发展经验，挖掘深层变革根基，撰写案例，申报项目、开展课题研究。近三年来，学校有一个国家级子课题结题，学校教师参与和主持的市、区课题有八项，申报的四个项目，撰写的四篇案例分别在常州市、金坛区“双减”案例评选中获一、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（二）润心成行展开德育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培养学生自主管理能力。学校积极倡导学生的自我管理，做好文明示范监督员、值日班长和班团干部培训，让骨干带动周围更多的学生，坚持从小处着眼，从小事抓起，学校针对性拟定良好行为习惯培养主题及计划，养成良好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.建构“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”常规活动机制。做好一次入学培训、发挥两个仪式和三种典礼的规范和激励作用，为学生搭建人生体验平台。学校把励志教育列为常规，持续推进劳动教育，养成勤俭习惯，磨练意志。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丰富德育活动形式。开发设计专门方案和系列化内容，德育为首五育融合，学科德育化，德育课程化。围绕生命教育月、绿色教育月、弘扬和培育民族精神月、法制教育月等四大德育主题，开展形式多样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.班级特色的德育。各班通过制定班级公约、班会和统一德育活动，班主任利用各种资源，师生共同自理、管理，突出培养集体荣誉感营造了积极氛围，激发学生自律。通过班级风采展示、各种比赛活动，挖掘班级德育内涵，展现班级特色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（三）寻求突破开发微课程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.立足校情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挖掘小微课程。学校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重视课程的开发与建设，始终坚持“国家课程校本化，校本课程自主化”这一整体建设目标，先后开发“文科阅读”、“理科实验”、“知行合一劳动”、“食育”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“励志教育”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等校本课程。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.立足学情，丰富社团活动。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学校从学生自身的兴趣和爱好出发，开发了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学生自主选择的社团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，形成了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菜单化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自主化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学校社团：书画社、溯源社、体健社、知音社、数星社、生物社、经纬社等，学生参与社团活动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兴趣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浓厚。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.德育引领，开拓课程内容。学校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定期开展“白中讲坛”活动，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校长带头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开设微型讲座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分享学习心得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激励教师保持自信，带领学生喊出口号，喊出信心。近年来，学校规划并开设了“入学课程”、“就餐礼仪”、“爱祖国爱家乡”等校本课程，推动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课程建设。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开辟联合社会助教活动课程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路径。邀请社会人士如区人民医院“天使在人间”团队、常州市名班主任、金城镇派出所、区未成年人指导中心的讲师等来校和师生面对面交流。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（四）以</w:t>
      </w:r>
      <w:r>
        <w:rPr>
          <w:rFonts w:hint="default" w:ascii="楷体" w:hAnsi="楷体" w:eastAsia="楷体" w:cs="楷体"/>
          <w:sz w:val="32"/>
          <w:szCs w:val="32"/>
          <w:lang w:val="en-US" w:eastAsia="zh-CN"/>
        </w:rPr>
        <w:t>“四有”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为目标建设团队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坚持“知行合一”、“行思并进”、“学思并重”的原则，帮助教师树立正确的成长观。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.加强师德师风建设。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校鼓励教师不断学习、勇于改革、力求创新，努力提升师德修养，提高育人水平，以“四有”为目标，人人争做“四有”好教师。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学校开展“结对帮扶”活动，政教处每学期举办签约仪式，拉近家校距离。学校通过改革作业形式，丰富作业内容，引导家长关注孩子成长。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.加强学科团队培育。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学校教研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活动从备课组到学科组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为集体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抱团发展，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“大文大理”融合教研活动，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建设“学习型团队”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依靠专家引领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、联盟力量、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网络研修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秉承“工作即科研”、“管理即科研”的理念，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鼓励和要求教师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把本职工作和行动研究紧密结合起来。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.加强教师梯队搭建。学校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促进中青年教师业务能力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提高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方面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花气力搭舞台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，充分利用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教育局、教师发展中心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联盟学校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资源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，走出去，请进来跟踪发展。学校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教师积极参与各类活动，撰写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论文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案例，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课题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拥有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常州市学科带头人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人、常州市骨干教师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人、常州市教学能手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人、常州市教坛新秀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人、金坛区学科带头人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人、金坛区骨干教师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人，金坛区教学能手、教坛新秀各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（五）落实常规增效减负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学校将落实常规作为中心工作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之一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优化精细化常规管理，打造有效课堂，提升各项工作的有效性，夯实基础提高教育教学质量。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.备课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实效。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教师备课优化突出实用性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备课组形成通案，单人备课组借助网络资源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形成适合学生的教学设计，使用时结合各班学情二次备课，形成个性化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教案，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重视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规划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和逆向设计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.课堂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有效。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教师依据学生特点，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“阅达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·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课堂”模式，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让学生表达、参与。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目标任务明确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课堂提问兼顾差异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过程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坚持问题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引导。重视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随堂检测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及时反馈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补偿教学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、个别辅导。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.作业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时效。学校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分层布置作业，作业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内容形式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多样化。教师精心选择、针对训练，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给学生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减负。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及时批改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、针对性讲评，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二次批改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使用《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教师作用管理手册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作业量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作业难易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学生层次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作业时间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、作业效果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心中有数。周末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假期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作业布置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分层控量，以丰富内容、形式的作业为纽带，指导家长促进家庭教育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.辅导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特效。学校教师由课内辅导向课外辅导延伸，注意分层辅导，重视基础知识、基本技能，注重学法指导，强调心理辅导。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（六）</w:t>
      </w:r>
      <w:r>
        <w:rPr>
          <w:rFonts w:hint="default" w:ascii="楷体" w:hAnsi="楷体" w:eastAsia="楷体" w:cs="楷体"/>
          <w:sz w:val="32"/>
          <w:szCs w:val="32"/>
          <w:lang w:val="en-US" w:eastAsia="zh-CN"/>
        </w:rPr>
        <w:t>目标引领立德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树人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学校以“让每一朵鲜花绽放”为着眼点，以德为先、能力为重，整合教学内容、转变教学方式、设计学科活动、开展分层教学、完善学生评价，关注学生全面发展。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.开展丰富多彩的活动，培养学生坚定理想信念、厚植爱国主义情怀、加强品德修养、增长知识见识、培养奋斗精神、增强综合素质。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打造“精致”教育，培养学生自主学习、合作学习能力。改革作业内容形式，开展劳动教育，创设家庭活动，五育融合提升学生素养。利用互联网技术进行教学，挖掘学生潜能，提高学生能力。学科组构建知识框架，提升学生思维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多元评价全方位激励学生。着眼学生素养目标，从道德、知识、能力等方面，评比各期、各类个人、集体，发放奖章奖状，做到了以发展的眼光捕捉学生的闪光点，多把尺子衡量每一个学生，顺应新课标的能力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白塔中学师生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积极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参加市、区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教育局、教师发展中心的各项评比活动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积极反思自己的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教育教学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，每学年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分别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有近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20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位教师和近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30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位学生在各级各类比赛中获奖。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四、主要问题和改进建议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主要问题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校园文化建设缺乏系统性的规划，班级文化与学校核心文化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体系不明显</w:t>
      </w:r>
      <w:r>
        <w:rPr>
          <w:rFonts w:hint="eastAsia" w:ascii="仿宋_GB2312" w:hAnsi="仿宋_GB2312" w:eastAsia="仿宋_GB2312" w:cs="仿宋_GB2312"/>
          <w:sz w:val="32"/>
          <w:szCs w:val="32"/>
        </w:rPr>
        <w:t>。校园文化建设的载体比较单一，更多地是依托活动文化。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学校教师开发课程的能力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相对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有限，课程建设的深度和广度明显不足，与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学校的</w:t>
      </w:r>
      <w:r>
        <w:rPr>
          <w:rFonts w:hint="eastAsia" w:ascii="仿宋_GB2312" w:hAnsi="仿宋_GB2312" w:eastAsia="仿宋_GB2312" w:cs="仿宋_GB2312"/>
          <w:sz w:val="32"/>
          <w:szCs w:val="32"/>
        </w:rPr>
        <w:t>既定目标还存在一定差距。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.学校近几年来</w:t>
      </w:r>
      <w:r>
        <w:rPr>
          <w:rFonts w:hint="eastAsia" w:ascii="仿宋_GB2312" w:hAnsi="仿宋_GB2312" w:eastAsia="仿宋_GB2312" w:cs="仿宋_GB2312"/>
          <w:sz w:val="32"/>
          <w:szCs w:val="32"/>
        </w:rPr>
        <w:t>校大量中青年骨干教师外流，教师队伍“老龄化”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优秀教师比例有所下降。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结构性缺编，地理、生物学科均由多位主学科老师兼任，一定程度上影响了学科教育质量。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二）改进建议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.用制度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推动校园文化建设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逐步完善</w:t>
      </w:r>
      <w:r>
        <w:rPr>
          <w:rFonts w:hint="eastAsia" w:ascii="仿宋_GB2312" w:hAnsi="仿宋_GB2312" w:eastAsia="仿宋_GB2312" w:cs="仿宋_GB2312"/>
          <w:sz w:val="32"/>
          <w:szCs w:val="32"/>
        </w:rPr>
        <w:t>制定一套完整的校园文化管理制度，赋予制度以文化色彩，使制度“文化”化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把精神要求与具体规定有机地结合起来，把“软文化”与“硬制度”熔于一炉，铸造出刚柔相济、软硬相容的“合金”式的规章制度。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.用团队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推动优秀教师培养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步改革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建设团队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切实</w:t>
      </w:r>
      <w:r>
        <w:rPr>
          <w:rFonts w:hint="eastAsia" w:ascii="仿宋_GB2312" w:hAnsi="仿宋_GB2312" w:eastAsia="仿宋_GB2312" w:cs="仿宋_GB2312"/>
          <w:sz w:val="32"/>
          <w:szCs w:val="32"/>
        </w:rPr>
        <w:t>凸显“抱团取暖”。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逐渐</w:t>
      </w:r>
      <w:r>
        <w:rPr>
          <w:rFonts w:hint="eastAsia" w:ascii="仿宋_GB2312" w:hAnsi="仿宋_GB2312" w:eastAsia="仿宋_GB2312" w:cs="仿宋_GB2312"/>
          <w:sz w:val="32"/>
          <w:szCs w:val="32"/>
        </w:rPr>
        <w:t>拓宽途径，常态化、序列化、系统化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自主学习与集中培训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结合，</w:t>
      </w:r>
      <w:r>
        <w:rPr>
          <w:rFonts w:hint="eastAsia" w:ascii="仿宋_GB2312" w:hAnsi="仿宋_GB2312" w:eastAsia="仿宋_GB2312" w:cs="仿宋_GB2312"/>
          <w:sz w:val="32"/>
          <w:szCs w:val="32"/>
        </w:rPr>
        <w:t>鼓励老师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真正</w:t>
      </w:r>
      <w:r>
        <w:rPr>
          <w:rFonts w:hint="eastAsia" w:ascii="仿宋_GB2312" w:hAnsi="仿宋_GB2312" w:eastAsia="仿宋_GB2312" w:cs="仿宋_GB2312"/>
          <w:sz w:val="32"/>
          <w:szCs w:val="32"/>
        </w:rPr>
        <w:t>以教养研、以研促教、教研相长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质量与研究并重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.灵活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推动学校课程建设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立足学校特点，挖掘开发</w:t>
      </w:r>
      <w:r>
        <w:rPr>
          <w:rFonts w:hint="eastAsia" w:ascii="仿宋_GB2312" w:hAnsi="仿宋_GB2312" w:eastAsia="仿宋_GB2312" w:cs="仿宋_GB2312"/>
          <w:sz w:val="32"/>
          <w:szCs w:val="32"/>
        </w:rPr>
        <w:t>学科融合、特色活动、科学技术前沿方面的课程做活微课程；发挥地方特色优势，联合社区、种植园等开发乡土特色课程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逐步形成学校完备的课程。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因地制宜、因校制宜、因人制宜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开展课程建设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课题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的研究，贴合学生学情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做优校本课程。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4" w:left="1531" w:header="851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uhoXX2o&#10;+guYO8vCVu8sj2miet6ujgFidhpHgXpVBt0weV2XhlcSR/vPfRf1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4tFzO1wAAAAoBAAAPAAAAAAAAAAEAIAAAACIAAABkcnMvZG93bnJldi54bWxQ&#10;SwECFAAUAAAACACHTuJAa4X5+z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47136B07"/>
    <w:rsid w:val="002E6536"/>
    <w:rsid w:val="00494313"/>
    <w:rsid w:val="00B222CE"/>
    <w:rsid w:val="052C6F40"/>
    <w:rsid w:val="06064860"/>
    <w:rsid w:val="08717797"/>
    <w:rsid w:val="0B051E69"/>
    <w:rsid w:val="0C35375C"/>
    <w:rsid w:val="0C7A52D3"/>
    <w:rsid w:val="0DB67E2D"/>
    <w:rsid w:val="107A2416"/>
    <w:rsid w:val="10855BDB"/>
    <w:rsid w:val="11236981"/>
    <w:rsid w:val="126759FF"/>
    <w:rsid w:val="133945AE"/>
    <w:rsid w:val="18470CF6"/>
    <w:rsid w:val="19BC492B"/>
    <w:rsid w:val="1AB60847"/>
    <w:rsid w:val="1B6F0F2E"/>
    <w:rsid w:val="1BFE6842"/>
    <w:rsid w:val="202116D8"/>
    <w:rsid w:val="206F1B09"/>
    <w:rsid w:val="214F120A"/>
    <w:rsid w:val="21AD504B"/>
    <w:rsid w:val="25460D1A"/>
    <w:rsid w:val="27A94567"/>
    <w:rsid w:val="295A5145"/>
    <w:rsid w:val="296C4AF5"/>
    <w:rsid w:val="2CC82A25"/>
    <w:rsid w:val="2DBC4D31"/>
    <w:rsid w:val="2E6175E5"/>
    <w:rsid w:val="2E7A0778"/>
    <w:rsid w:val="338A3556"/>
    <w:rsid w:val="34363C14"/>
    <w:rsid w:val="3668157A"/>
    <w:rsid w:val="376B4EC3"/>
    <w:rsid w:val="38235F90"/>
    <w:rsid w:val="38E5020D"/>
    <w:rsid w:val="39410099"/>
    <w:rsid w:val="3A634304"/>
    <w:rsid w:val="3A9052AF"/>
    <w:rsid w:val="3AB96FBD"/>
    <w:rsid w:val="3DD57788"/>
    <w:rsid w:val="4072523B"/>
    <w:rsid w:val="413853EE"/>
    <w:rsid w:val="414912D3"/>
    <w:rsid w:val="47136B07"/>
    <w:rsid w:val="47C02E1A"/>
    <w:rsid w:val="47F114DE"/>
    <w:rsid w:val="495A57D1"/>
    <w:rsid w:val="49B97B19"/>
    <w:rsid w:val="4A0B5829"/>
    <w:rsid w:val="4AC6365F"/>
    <w:rsid w:val="4B8F39AF"/>
    <w:rsid w:val="4C01555A"/>
    <w:rsid w:val="4DCF608D"/>
    <w:rsid w:val="4F643CD8"/>
    <w:rsid w:val="4FE24B8C"/>
    <w:rsid w:val="519A1675"/>
    <w:rsid w:val="53DD7A50"/>
    <w:rsid w:val="579600C4"/>
    <w:rsid w:val="59562667"/>
    <w:rsid w:val="5C7F3C7D"/>
    <w:rsid w:val="5F60362B"/>
    <w:rsid w:val="5FF15DAE"/>
    <w:rsid w:val="60202DCB"/>
    <w:rsid w:val="6192403F"/>
    <w:rsid w:val="65AE1793"/>
    <w:rsid w:val="68DB475A"/>
    <w:rsid w:val="6C2626AC"/>
    <w:rsid w:val="6D5B74E5"/>
    <w:rsid w:val="709F4552"/>
    <w:rsid w:val="73637782"/>
    <w:rsid w:val="743C4B6E"/>
    <w:rsid w:val="7522656B"/>
    <w:rsid w:val="76AB5324"/>
    <w:rsid w:val="78101BA8"/>
    <w:rsid w:val="7A7F74F4"/>
    <w:rsid w:val="7AD1688D"/>
    <w:rsid w:val="7B083C02"/>
    <w:rsid w:val="7BA0408D"/>
    <w:rsid w:val="7C535A44"/>
    <w:rsid w:val="7C8B3F15"/>
    <w:rsid w:val="7E250BF0"/>
    <w:rsid w:val="7EAA6F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p0"/>
    <w:basedOn w:val="1"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3824</Words>
  <Characters>3891</Characters>
  <Lines>6</Lines>
  <Paragraphs>1</Paragraphs>
  <TotalTime>2</TotalTime>
  <ScaleCrop>false</ScaleCrop>
  <LinksUpToDate>false</LinksUpToDate>
  <CharactersWithSpaces>3893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2019-10-17T01:35:00Z</dcterms:created>
  <dc:creator>王者风行</dc:creator>
  <cp:lastModifiedBy>半亩方塘</cp:lastModifiedBy>
  <dcterms:modified xsi:type="dcterms:W3CDTF">2024-08-01T08:47:53Z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6D520C831EB940E09B7193652776A89D_13</vt:lpwstr>
  </property>
</Properties>
</file>